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8F9B" w14:textId="77777777" w:rsidR="004E63B1" w:rsidRPr="0009494F" w:rsidRDefault="004E63B1" w:rsidP="005D3CE8">
      <w:pPr>
        <w:jc w:val="center"/>
      </w:pPr>
      <w:r w:rsidRPr="0009494F">
        <w:rPr>
          <w:noProof/>
          <w:color w:val="008080"/>
        </w:rPr>
        <w:drawing>
          <wp:anchor distT="0" distB="0" distL="114300" distR="114300" simplePos="0" relativeHeight="251659264" behindDoc="0" locked="0" layoutInCell="1" allowOverlap="1" wp14:anchorId="28DA3992" wp14:editId="56DF665C">
            <wp:simplePos x="0" y="0"/>
            <wp:positionH relativeFrom="margin">
              <wp:align>center</wp:align>
            </wp:positionH>
            <wp:positionV relativeFrom="margin">
              <wp:posOffset>-236220</wp:posOffset>
            </wp:positionV>
            <wp:extent cx="1844040" cy="1593134"/>
            <wp:effectExtent l="0" t="0" r="3810" b="7620"/>
            <wp:wrapNone/>
            <wp:docPr id="20" name="Picture 4" descr="Copy-of-logo_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py-of-logo_341.jpg"/>
                    <pic:cNvPicPr>
                      <a:picLocks noChangeAspect="1" noChangeArrowheads="1"/>
                    </pic:cNvPicPr>
                  </pic:nvPicPr>
                  <pic:blipFill>
                    <a:blip r:embed="rId5" cstate="print"/>
                    <a:srcRect/>
                    <a:stretch>
                      <a:fillRect/>
                    </a:stretch>
                  </pic:blipFill>
                  <pic:spPr bwMode="auto">
                    <a:xfrm>
                      <a:off x="0" y="0"/>
                      <a:ext cx="1844040" cy="1593134"/>
                    </a:xfrm>
                    <a:prstGeom prst="rect">
                      <a:avLst/>
                    </a:prstGeom>
                    <a:solidFill>
                      <a:srgbClr val="8DB3E2"/>
                    </a:solidFill>
                  </pic:spPr>
                </pic:pic>
              </a:graphicData>
            </a:graphic>
            <wp14:sizeRelH relativeFrom="margin">
              <wp14:pctWidth>0</wp14:pctWidth>
            </wp14:sizeRelH>
            <wp14:sizeRelV relativeFrom="margin">
              <wp14:pctHeight>0</wp14:pctHeight>
            </wp14:sizeRelV>
          </wp:anchor>
        </w:drawing>
      </w:r>
    </w:p>
    <w:p w14:paraId="0881371B" w14:textId="77777777" w:rsidR="004E63B1" w:rsidRPr="0009494F" w:rsidRDefault="004E63B1" w:rsidP="005D3CE8">
      <w:pPr>
        <w:jc w:val="center"/>
      </w:pPr>
    </w:p>
    <w:p w14:paraId="602BBBC8" w14:textId="77777777" w:rsidR="004E63B1" w:rsidRPr="0009494F" w:rsidRDefault="004E63B1" w:rsidP="005D3CE8">
      <w:pPr>
        <w:jc w:val="center"/>
      </w:pPr>
    </w:p>
    <w:p w14:paraId="08CFD19C" w14:textId="77777777" w:rsidR="004E63B1" w:rsidRPr="0009494F" w:rsidRDefault="004E63B1" w:rsidP="005D3CE8">
      <w:pPr>
        <w:jc w:val="center"/>
      </w:pPr>
    </w:p>
    <w:p w14:paraId="27A8FB01" w14:textId="77777777" w:rsidR="004E63B1" w:rsidRPr="0009494F" w:rsidRDefault="004E63B1" w:rsidP="005D3CE8">
      <w:pPr>
        <w:jc w:val="center"/>
      </w:pPr>
    </w:p>
    <w:p w14:paraId="18B22B15" w14:textId="77777777" w:rsidR="004E63B1" w:rsidRPr="0009494F" w:rsidRDefault="004E63B1" w:rsidP="005D3CE8">
      <w:pPr>
        <w:jc w:val="center"/>
      </w:pPr>
    </w:p>
    <w:p w14:paraId="062B96AE" w14:textId="77777777" w:rsidR="00911AF8" w:rsidRPr="0009494F" w:rsidRDefault="005D3CE8" w:rsidP="005D3CE8">
      <w:pPr>
        <w:jc w:val="center"/>
        <w:rPr>
          <w:sz w:val="44"/>
        </w:rPr>
      </w:pPr>
      <w:r w:rsidRPr="0009494F">
        <w:rPr>
          <w:sz w:val="44"/>
        </w:rPr>
        <w:t>Measure X Project Report</w:t>
      </w:r>
    </w:p>
    <w:p w14:paraId="514040B7" w14:textId="175CEADA" w:rsidR="004E63B1" w:rsidRPr="0009494F" w:rsidRDefault="004E63B1" w:rsidP="559640AF">
      <w:pPr>
        <w:jc w:val="center"/>
        <w:rPr>
          <w:sz w:val="44"/>
          <w:szCs w:val="44"/>
        </w:rPr>
      </w:pPr>
      <w:r w:rsidRPr="559640AF">
        <w:rPr>
          <w:sz w:val="44"/>
          <w:szCs w:val="44"/>
        </w:rPr>
        <w:t xml:space="preserve">December </w:t>
      </w:r>
      <w:r w:rsidR="00F11894" w:rsidRPr="559640AF">
        <w:rPr>
          <w:sz w:val="44"/>
          <w:szCs w:val="44"/>
        </w:rPr>
        <w:t>202</w:t>
      </w:r>
      <w:r w:rsidR="00BB5992">
        <w:rPr>
          <w:sz w:val="44"/>
          <w:szCs w:val="44"/>
        </w:rPr>
        <w:t>5</w:t>
      </w:r>
    </w:p>
    <w:p w14:paraId="28FF8C77" w14:textId="77777777" w:rsidR="00C70881" w:rsidRPr="0009494F" w:rsidRDefault="00C70881" w:rsidP="005D3CE8">
      <w:pPr>
        <w:jc w:val="center"/>
        <w:rPr>
          <w:sz w:val="44"/>
        </w:rPr>
      </w:pPr>
    </w:p>
    <w:p w14:paraId="6EBC7EDB" w14:textId="77777777" w:rsidR="004C4304" w:rsidRDefault="00C70881" w:rsidP="00C70881">
      <w:pPr>
        <w:rPr>
          <w:sz w:val="36"/>
        </w:rPr>
      </w:pPr>
      <w:r w:rsidRPr="0009494F">
        <w:rPr>
          <w:sz w:val="36"/>
        </w:rPr>
        <w:t>Measure X Transportation Projects</w:t>
      </w:r>
    </w:p>
    <w:p w14:paraId="505B784A" w14:textId="6A27998E" w:rsidR="00C70881" w:rsidRDefault="4CE58976" w:rsidP="559640AF">
      <w:pPr>
        <w:rPr>
          <w:sz w:val="36"/>
          <w:szCs w:val="36"/>
        </w:rPr>
      </w:pPr>
      <w:r w:rsidRPr="559640AF">
        <w:rPr>
          <w:sz w:val="36"/>
          <w:szCs w:val="36"/>
        </w:rPr>
        <w:t>Recreation Trail Counter</w:t>
      </w:r>
      <w:r w:rsidR="008E06AC" w:rsidRPr="559640AF">
        <w:rPr>
          <w:sz w:val="36"/>
          <w:szCs w:val="36"/>
        </w:rPr>
        <w:t xml:space="preserve"> </w:t>
      </w:r>
      <w:r w:rsidR="000F4CA4" w:rsidRPr="559640AF">
        <w:rPr>
          <w:sz w:val="36"/>
          <w:szCs w:val="36"/>
        </w:rPr>
        <w:t>Installation</w:t>
      </w:r>
      <w:r w:rsidR="00C70881" w:rsidRPr="559640AF">
        <w:rPr>
          <w:sz w:val="36"/>
          <w:szCs w:val="36"/>
        </w:rPr>
        <w:t xml:space="preserve"> Project</w:t>
      </w:r>
    </w:p>
    <w:p w14:paraId="2AC3D1C6" w14:textId="17BB542F" w:rsidR="0009494F" w:rsidRPr="000A37FD" w:rsidRDefault="00564A1C" w:rsidP="00FB650F">
      <w:bookmarkStart w:id="0" w:name="OLE_LINK29"/>
      <w:bookmarkStart w:id="1" w:name="OLE_LINK30"/>
      <w:r w:rsidRPr="559640AF">
        <w:rPr>
          <w:rFonts w:eastAsia="Times New Roman" w:cs="Times New Roman"/>
        </w:rPr>
        <w:t>T</w:t>
      </w:r>
      <w:r w:rsidRPr="559640AF">
        <w:t xml:space="preserve">his project is the </w:t>
      </w:r>
      <w:r w:rsidR="00783903" w:rsidRPr="559640AF">
        <w:t>prime</w:t>
      </w:r>
      <w:r w:rsidRPr="559640AF">
        <w:t xml:space="preserve"> example of using Measure X funding </w:t>
      </w:r>
      <w:r w:rsidR="000F4CA4" w:rsidRPr="559640AF">
        <w:t xml:space="preserve">to support transportation safety </w:t>
      </w:r>
      <w:r w:rsidR="007926EE" w:rsidRPr="559640AF">
        <w:t xml:space="preserve">and operations </w:t>
      </w:r>
      <w:r w:rsidR="000F4CA4" w:rsidRPr="559640AF">
        <w:t>improvements to</w:t>
      </w:r>
      <w:r w:rsidR="002520E6" w:rsidRPr="559640AF">
        <w:t xml:space="preserve"> enhance the quality of Transportation in Monterey and Monterey County. </w:t>
      </w:r>
      <w:r w:rsidR="5600808F" w:rsidRPr="559640AF">
        <w:t>This project could also potentially help with gathering data necessary for grant applications.</w:t>
      </w:r>
    </w:p>
    <w:p w14:paraId="5DE2EEE3" w14:textId="2F47C8EC" w:rsidR="008E45F2" w:rsidRDefault="499D0532" w:rsidP="00FB650F">
      <w:r w:rsidRPr="559640AF">
        <w:t xml:space="preserve">The </w:t>
      </w:r>
      <w:proofErr w:type="gramStart"/>
      <w:r w:rsidRPr="559640AF">
        <w:t>City</w:t>
      </w:r>
      <w:proofErr w:type="gramEnd"/>
      <w:r w:rsidRPr="559640AF">
        <w:t xml:space="preserve"> installed two recreation trail counters in October 2023, </w:t>
      </w:r>
      <w:r w:rsidR="1349C33C" w:rsidRPr="559640AF">
        <w:t xml:space="preserve">the traffic counters selected are the </w:t>
      </w:r>
      <w:proofErr w:type="spellStart"/>
      <w:r w:rsidR="1349C33C" w:rsidRPr="559640AF">
        <w:t>RidePod</w:t>
      </w:r>
      <w:proofErr w:type="spellEnd"/>
      <w:r w:rsidR="1349C33C" w:rsidRPr="559640AF">
        <w:t xml:space="preserve"> BP by </w:t>
      </w:r>
      <w:proofErr w:type="spellStart"/>
      <w:r w:rsidR="1349C33C" w:rsidRPr="559640AF">
        <w:t>MetroCount</w:t>
      </w:r>
      <w:proofErr w:type="spellEnd"/>
      <w:r w:rsidR="1349C33C" w:rsidRPr="559640AF">
        <w:t xml:space="preserve">. This is the only vendor that </w:t>
      </w:r>
      <w:proofErr w:type="gramStart"/>
      <w:r w:rsidR="1349C33C" w:rsidRPr="559640AF">
        <w:t>had</w:t>
      </w:r>
      <w:proofErr w:type="gramEnd"/>
      <w:r w:rsidR="1349C33C" w:rsidRPr="559640AF">
        <w:t xml:space="preserve"> </w:t>
      </w:r>
      <w:proofErr w:type="gramStart"/>
      <w:r w:rsidR="1349C33C" w:rsidRPr="559640AF">
        <w:t>all of</w:t>
      </w:r>
      <w:proofErr w:type="gramEnd"/>
      <w:r w:rsidR="1349C33C" w:rsidRPr="559640AF">
        <w:t xml:space="preserve"> the data collection features required. </w:t>
      </w:r>
      <w:r w:rsidR="7C75A125" w:rsidRPr="559640AF">
        <w:t xml:space="preserve">The </w:t>
      </w:r>
      <w:proofErr w:type="spellStart"/>
      <w:r w:rsidR="7C75A125" w:rsidRPr="559640AF">
        <w:t>RidePod</w:t>
      </w:r>
      <w:proofErr w:type="spellEnd"/>
      <w:r w:rsidR="7C75A125" w:rsidRPr="559640AF">
        <w:t xml:space="preserve"> BP </w:t>
      </w:r>
      <w:r w:rsidR="1349C33C" w:rsidRPr="559640AF">
        <w:t xml:space="preserve">collects </w:t>
      </w:r>
      <w:proofErr w:type="gramStart"/>
      <w:r w:rsidR="1349C33C" w:rsidRPr="559640AF">
        <w:t>bike</w:t>
      </w:r>
      <w:proofErr w:type="gramEnd"/>
      <w:r w:rsidR="1349C33C" w:rsidRPr="559640AF">
        <w:t>, pedestrian and e-scooter counts, bike speed, direction, gap &amp; headway, and clusters. This traffic counter does not have any speed feedback capabilities</w:t>
      </w:r>
      <w:r w:rsidR="19AA38AF" w:rsidRPr="559640AF">
        <w:t>, which w</w:t>
      </w:r>
      <w:r w:rsidR="7DBA7497" w:rsidRPr="559640AF">
        <w:t>as desired,</w:t>
      </w:r>
      <w:r w:rsidR="19AA38AF" w:rsidRPr="559640AF">
        <w:t xml:space="preserve"> but no</w:t>
      </w:r>
      <w:r w:rsidR="1349C33C" w:rsidRPr="559640AF">
        <w:t xml:space="preserve"> vendors have this capability at this time. The regular radar speed feedback signs we use in neighborhoods cannot be used on the Rec Trail as they are not set up for recreation trails and cannot distinguish between pedestrians and bicycles which would skew the data. </w:t>
      </w:r>
    </w:p>
    <w:p w14:paraId="04F94D86" w14:textId="6E9E88DD" w:rsidR="008E45F2" w:rsidRDefault="1349C33C" w:rsidP="00FB650F">
      <w:r w:rsidRPr="559640AF">
        <w:t xml:space="preserve">The two locations where the counters were installed are </w:t>
      </w:r>
      <w:r w:rsidR="3DF2BD65" w:rsidRPr="559640AF">
        <w:t xml:space="preserve">Location </w:t>
      </w:r>
      <w:r w:rsidRPr="559640AF">
        <w:t xml:space="preserve">1 placed on Presidio Curve which has high volumes and </w:t>
      </w:r>
      <w:r w:rsidR="740BD6ED" w:rsidRPr="559640AF">
        <w:t xml:space="preserve">Location </w:t>
      </w:r>
      <w:r w:rsidRPr="559640AF">
        <w:t xml:space="preserve">2 between Park Ave and Sewer Treatment Plant </w:t>
      </w:r>
      <w:proofErr w:type="gramStart"/>
      <w:r w:rsidRPr="559640AF">
        <w:t>Rd</w:t>
      </w:r>
      <w:proofErr w:type="gramEnd"/>
      <w:r w:rsidRPr="559640AF">
        <w:t xml:space="preserve"> which can have higher bike speeds.</w:t>
      </w:r>
    </w:p>
    <w:p w14:paraId="39FBE48A" w14:textId="5463CBFB" w:rsidR="008E45F2" w:rsidRDefault="46708631" w:rsidP="00FB650F">
      <w:r w:rsidRPr="559640AF">
        <w:t xml:space="preserve">The recreation trail counters were installed to help the City with </w:t>
      </w:r>
      <w:r w:rsidR="001E59C4">
        <w:t xml:space="preserve">policy </w:t>
      </w:r>
      <w:r w:rsidRPr="559640AF">
        <w:t xml:space="preserve">decisions regarding the </w:t>
      </w:r>
      <w:r w:rsidR="00DD7DD2" w:rsidRPr="559640AF">
        <w:t xml:space="preserve">use </w:t>
      </w:r>
      <w:r w:rsidR="00DD7DD2">
        <w:t>of</w:t>
      </w:r>
      <w:r w:rsidR="00A624A0">
        <w:t xml:space="preserve"> the Recreation Trail</w:t>
      </w:r>
      <w:r w:rsidRPr="559640AF">
        <w:t>. The popularity of the trail, popularity of e-</w:t>
      </w:r>
      <w:r w:rsidR="3187C14E" w:rsidRPr="559640AF">
        <w:t>bikes</w:t>
      </w:r>
      <w:r w:rsidRPr="559640AF">
        <w:t xml:space="preserve"> and change in law regar</w:t>
      </w:r>
      <w:r w:rsidR="231F1AF2" w:rsidRPr="559640AF">
        <w:t>ding e-bikes on Class I facilities have changed the character</w:t>
      </w:r>
      <w:r w:rsidR="00A624A0">
        <w:t>istics</w:t>
      </w:r>
      <w:r w:rsidR="231F1AF2" w:rsidRPr="559640AF">
        <w:t xml:space="preserve"> of trail users in recent years. The </w:t>
      </w:r>
      <w:proofErr w:type="gramStart"/>
      <w:r w:rsidR="231F1AF2" w:rsidRPr="559640AF">
        <w:t>City</w:t>
      </w:r>
      <w:proofErr w:type="gramEnd"/>
      <w:r w:rsidR="231F1AF2" w:rsidRPr="559640AF">
        <w:t xml:space="preserve"> wanted to better understand the volume</w:t>
      </w:r>
      <w:r w:rsidR="209CC52E" w:rsidRPr="559640AF">
        <w:t xml:space="preserve"> and speed of pedestrians, bicycles and scooters in the </w:t>
      </w:r>
      <w:proofErr w:type="gramStart"/>
      <w:r w:rsidR="209CC52E" w:rsidRPr="559640AF">
        <w:t>City</w:t>
      </w:r>
      <w:proofErr w:type="gramEnd"/>
      <w:r w:rsidR="209CC52E" w:rsidRPr="559640AF">
        <w:t>.</w:t>
      </w:r>
      <w:r w:rsidR="00A624A0">
        <w:t xml:space="preserve"> The </w:t>
      </w:r>
      <w:r w:rsidR="002323CA">
        <w:t xml:space="preserve">Public Works and Police Department have been working towards understanding the </w:t>
      </w:r>
      <w:r w:rsidR="002323CA">
        <w:lastRenderedPageBreak/>
        <w:t xml:space="preserve">behavior of trail users </w:t>
      </w:r>
      <w:proofErr w:type="gramStart"/>
      <w:r w:rsidR="002323CA">
        <w:t>in order to</w:t>
      </w:r>
      <w:proofErr w:type="gramEnd"/>
      <w:r w:rsidR="00536A44">
        <w:t xml:space="preserve"> handle trail conflicts such as speed and reckless bicycling. The results of the study could result in a bicycle speed limit or changes to </w:t>
      </w:r>
      <w:r w:rsidR="0001756F">
        <w:t>Monterey City Code</w:t>
      </w:r>
      <w:r w:rsidR="002E5B67">
        <w:t>.</w:t>
      </w:r>
    </w:p>
    <w:p w14:paraId="4BAE6A51" w14:textId="77777777" w:rsidR="001E59C4" w:rsidRDefault="001E59C4" w:rsidP="559640AF">
      <w:pPr>
        <w:spacing w:after="0" w:line="240" w:lineRule="auto"/>
        <w:rPr>
          <w:rFonts w:eastAsiaTheme="minorEastAsia"/>
          <w:color w:val="242424"/>
          <w:sz w:val="24"/>
          <w:szCs w:val="24"/>
        </w:rPr>
      </w:pPr>
    </w:p>
    <w:p w14:paraId="6D540668" w14:textId="662E2F2E" w:rsidR="008E45F2" w:rsidRDefault="1349C33C" w:rsidP="559640AF">
      <w:pPr>
        <w:spacing w:after="0" w:line="240" w:lineRule="auto"/>
        <w:rPr>
          <w:rFonts w:eastAsiaTheme="minorEastAsia"/>
          <w:i/>
          <w:iCs/>
        </w:rPr>
      </w:pPr>
      <w:r>
        <w:rPr>
          <w:noProof/>
        </w:rPr>
        <w:drawing>
          <wp:inline distT="0" distB="0" distL="0" distR="0" wp14:anchorId="4ACB2FA5" wp14:editId="4BDE3D59">
            <wp:extent cx="4214191" cy="2783122"/>
            <wp:effectExtent l="0" t="0" r="0" b="0"/>
            <wp:docPr id="829631568" name="Picture 829631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4220441" cy="2787250"/>
                    </a:xfrm>
                    <a:prstGeom prst="rect">
                      <a:avLst/>
                    </a:prstGeom>
                  </pic:spPr>
                </pic:pic>
              </a:graphicData>
            </a:graphic>
          </wp:inline>
        </w:drawing>
      </w:r>
    </w:p>
    <w:p w14:paraId="33EAAC7C" w14:textId="47B927A1" w:rsidR="008E45F2" w:rsidRDefault="19867446" w:rsidP="559640AF">
      <w:pPr>
        <w:spacing w:after="0" w:line="240" w:lineRule="auto"/>
        <w:rPr>
          <w:rFonts w:eastAsiaTheme="minorEastAsia"/>
        </w:rPr>
      </w:pPr>
      <w:r w:rsidRPr="559640AF">
        <w:rPr>
          <w:rFonts w:eastAsiaTheme="minorEastAsia"/>
          <w:i/>
          <w:iCs/>
        </w:rPr>
        <w:t>Bicycle Counter Locations</w:t>
      </w:r>
      <w:r w:rsidR="008E45F2">
        <w:br/>
      </w:r>
    </w:p>
    <w:p w14:paraId="5FDB5419" w14:textId="2707195B" w:rsidR="008E45F2" w:rsidRDefault="3D83F4BB" w:rsidP="559640AF">
      <w:pPr>
        <w:spacing w:after="0" w:line="240" w:lineRule="auto"/>
        <w:rPr>
          <w:i/>
          <w:iCs/>
        </w:rPr>
      </w:pPr>
      <w:r>
        <w:rPr>
          <w:noProof/>
        </w:rPr>
        <w:drawing>
          <wp:inline distT="0" distB="0" distL="0" distR="0" wp14:anchorId="6DFC43F7" wp14:editId="49B2BE01">
            <wp:extent cx="2623931" cy="3498574"/>
            <wp:effectExtent l="0" t="0" r="5080" b="6985"/>
            <wp:docPr id="1489076464" name="Picture 1489076464"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5677" cy="3500902"/>
                    </a:xfrm>
                    <a:prstGeom prst="rect">
                      <a:avLst/>
                    </a:prstGeom>
                  </pic:spPr>
                </pic:pic>
              </a:graphicData>
            </a:graphic>
          </wp:inline>
        </w:drawing>
      </w:r>
    </w:p>
    <w:p w14:paraId="44AF158A" w14:textId="0F25E527" w:rsidR="008E45F2" w:rsidRDefault="3D83F4BB" w:rsidP="002E5B67">
      <w:pPr>
        <w:spacing w:after="0" w:line="240" w:lineRule="auto"/>
        <w:rPr>
          <w:i/>
          <w:iCs/>
        </w:rPr>
      </w:pPr>
      <w:r w:rsidRPr="559640AF">
        <w:rPr>
          <w:i/>
          <w:iCs/>
        </w:rPr>
        <w:t>Installation of the Bicycle Counters at Location 2, 2023</w:t>
      </w:r>
    </w:p>
    <w:p w14:paraId="4373696A" w14:textId="77777777" w:rsidR="00FB650F" w:rsidRDefault="00FB650F" w:rsidP="002E5B67">
      <w:pPr>
        <w:spacing w:after="0" w:line="240" w:lineRule="auto"/>
        <w:rPr>
          <w:i/>
          <w:iCs/>
        </w:rPr>
      </w:pPr>
    </w:p>
    <w:p w14:paraId="54D8836E" w14:textId="77777777" w:rsidR="00E07527" w:rsidRDefault="00E07527" w:rsidP="002E5B67">
      <w:pPr>
        <w:spacing w:after="0" w:line="240" w:lineRule="auto"/>
        <w:rPr>
          <w:i/>
          <w:iCs/>
        </w:rPr>
      </w:pPr>
    </w:p>
    <w:p w14:paraId="4C8B6346" w14:textId="2B6EC222" w:rsidR="00FB650F" w:rsidRDefault="00E07527" w:rsidP="00E07527">
      <w:pPr>
        <w:pStyle w:val="Heading2"/>
      </w:pPr>
      <w:r>
        <w:lastRenderedPageBreak/>
        <w:t>Project Update</w:t>
      </w:r>
    </w:p>
    <w:p w14:paraId="127D37F7" w14:textId="6D5DECE8" w:rsidR="00FB650F" w:rsidRDefault="00E07527" w:rsidP="64272691">
      <w:pPr>
        <w:spacing w:after="0" w:line="240" w:lineRule="auto"/>
      </w:pPr>
      <w:r>
        <w:t>In May 2024, Staff discovered vandalism at the bicycle counter at Location 2. Staff worked with the Police Department and Bear Electrical to investigate and replace the parts to put the counter back in working order. In 2</w:t>
      </w:r>
      <w:r w:rsidR="71459E94">
        <w:t>025</w:t>
      </w:r>
      <w:r>
        <w:t xml:space="preserve">, the </w:t>
      </w:r>
      <w:r w:rsidR="6B727160">
        <w:t xml:space="preserve">replacement was installed with an additional lock </w:t>
      </w:r>
      <w:r w:rsidR="00417BBB">
        <w:t>as</w:t>
      </w:r>
      <w:r w:rsidR="6B727160">
        <w:t xml:space="preserve"> a safety measure.</w:t>
      </w:r>
    </w:p>
    <w:p w14:paraId="609BF5C1" w14:textId="77777777" w:rsidR="00417BBB" w:rsidRDefault="00417BBB" w:rsidP="64272691">
      <w:pPr>
        <w:spacing w:after="0" w:line="240" w:lineRule="auto"/>
      </w:pPr>
    </w:p>
    <w:p w14:paraId="522AADED" w14:textId="77777777" w:rsidR="00FB650F" w:rsidRDefault="00FB650F" w:rsidP="00FB650F">
      <w:pPr>
        <w:pStyle w:val="Heading2"/>
        <w:rPr>
          <w:rFonts w:eastAsia="Times New Roman"/>
        </w:rPr>
      </w:pPr>
      <w:r>
        <w:rPr>
          <w:rFonts w:eastAsia="Times New Roman"/>
        </w:rPr>
        <w:t>Project Funding</w:t>
      </w:r>
    </w:p>
    <w:p w14:paraId="4A5F2E9F" w14:textId="2508B155" w:rsidR="00FB650F" w:rsidRDefault="00FB650F" w:rsidP="00FB650F">
      <w:proofErr w:type="spellStart"/>
      <w:r>
        <w:t>Metrocount</w:t>
      </w:r>
      <w:proofErr w:type="spellEnd"/>
      <w:r>
        <w:t xml:space="preserve"> Equipment Purchase (CIP</w:t>
      </w:r>
      <w:proofErr w:type="gramStart"/>
      <w:r>
        <w:t>2012)(</w:t>
      </w:r>
      <w:proofErr w:type="gramEnd"/>
      <w:r>
        <w:t>MEASURE X)</w:t>
      </w:r>
      <w:proofErr w:type="gramStart"/>
      <w:r>
        <w:t>:</w:t>
      </w:r>
      <w:r>
        <w:tab/>
      </w:r>
      <w:r>
        <w:tab/>
        <w:t>$</w:t>
      </w:r>
      <w:proofErr w:type="gramEnd"/>
      <w:r>
        <w:t>16,520.00</w:t>
      </w:r>
    </w:p>
    <w:p w14:paraId="3514962D" w14:textId="4BDA1380" w:rsidR="00FB650F" w:rsidRDefault="00FB650F" w:rsidP="00FB650F">
      <w:r>
        <w:t xml:space="preserve">Bear Electrical Equipment </w:t>
      </w:r>
      <w:proofErr w:type="gramStart"/>
      <w:r>
        <w:t>Installation(</w:t>
      </w:r>
      <w:proofErr w:type="gramEnd"/>
      <w:r>
        <w:t>CIP</w:t>
      </w:r>
      <w:proofErr w:type="gramStart"/>
      <w:r>
        <w:t>2012)(</w:t>
      </w:r>
      <w:proofErr w:type="gramEnd"/>
      <w:r>
        <w:t>MEASURE X):</w:t>
      </w:r>
      <w:r>
        <w:tab/>
        <w:t>$24,950.00</w:t>
      </w:r>
    </w:p>
    <w:p w14:paraId="6CF27633" w14:textId="182DB8A2" w:rsidR="00E07527" w:rsidRDefault="00E07527" w:rsidP="00E07527">
      <w:r>
        <w:t xml:space="preserve">Bear Electrical Equipment </w:t>
      </w:r>
      <w:proofErr w:type="gramStart"/>
      <w:r>
        <w:t>Replacement(</w:t>
      </w:r>
      <w:proofErr w:type="gramEnd"/>
      <w:r>
        <w:t>CIP</w:t>
      </w:r>
      <w:proofErr w:type="gramStart"/>
      <w:r>
        <w:t>2012)(</w:t>
      </w:r>
      <w:proofErr w:type="gramEnd"/>
      <w:r>
        <w:t>MEASURE X):</w:t>
      </w:r>
      <w:r>
        <w:tab/>
        <w:t xml:space="preserve">       $650.00</w:t>
      </w:r>
    </w:p>
    <w:p w14:paraId="408C5537" w14:textId="115F6DDB" w:rsidR="00FB650F" w:rsidRPr="00E40FFE" w:rsidRDefault="00FB650F" w:rsidP="00FB650F">
      <w:r>
        <w:t>Total:</w:t>
      </w:r>
      <w:r>
        <w:tab/>
      </w:r>
      <w:r>
        <w:tab/>
      </w:r>
      <w:r>
        <w:tab/>
      </w:r>
      <w:r>
        <w:tab/>
      </w:r>
      <w:r>
        <w:tab/>
      </w:r>
      <w:r w:rsidR="00E07527">
        <w:tab/>
      </w:r>
      <w:r w:rsidR="00E07527">
        <w:tab/>
      </w:r>
      <w:r w:rsidR="00E07527">
        <w:tab/>
      </w:r>
      <w:r w:rsidR="00E07527">
        <w:tab/>
      </w:r>
      <w:r w:rsidRPr="00E40FFE">
        <w:rPr>
          <w:b/>
          <w:bCs/>
        </w:rPr>
        <w:t>$</w:t>
      </w:r>
      <w:r w:rsidR="00E07527">
        <w:rPr>
          <w:b/>
          <w:bCs/>
        </w:rPr>
        <w:t>42</w:t>
      </w:r>
      <w:r w:rsidRPr="00E40FFE">
        <w:rPr>
          <w:b/>
          <w:bCs/>
        </w:rPr>
        <w:t>,</w:t>
      </w:r>
      <w:r w:rsidR="00E07527">
        <w:rPr>
          <w:b/>
          <w:bCs/>
        </w:rPr>
        <w:t>120</w:t>
      </w:r>
      <w:r w:rsidRPr="00E40FFE">
        <w:rPr>
          <w:b/>
          <w:bCs/>
        </w:rPr>
        <w:t>.00</w:t>
      </w:r>
    </w:p>
    <w:p w14:paraId="09AFB462" w14:textId="6C51E32B" w:rsidR="00FB650F" w:rsidRPr="002E5B67" w:rsidRDefault="00FB650F" w:rsidP="00FB650F">
      <w:pPr>
        <w:spacing w:after="0" w:line="240" w:lineRule="auto"/>
        <w:rPr>
          <w:i/>
          <w:iCs/>
        </w:rPr>
      </w:pPr>
    </w:p>
    <w:bookmarkEnd w:id="0"/>
    <w:bookmarkEnd w:id="1"/>
    <w:sectPr w:rsidR="00FB650F" w:rsidRPr="002E5B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B673C"/>
    <w:multiLevelType w:val="hybridMultilevel"/>
    <w:tmpl w:val="8EFC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60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CE8"/>
    <w:rsid w:val="00003441"/>
    <w:rsid w:val="0001756F"/>
    <w:rsid w:val="000438D4"/>
    <w:rsid w:val="000510D1"/>
    <w:rsid w:val="00056A30"/>
    <w:rsid w:val="00056FA9"/>
    <w:rsid w:val="000900BA"/>
    <w:rsid w:val="0009494F"/>
    <w:rsid w:val="000A37FD"/>
    <w:rsid w:val="000D55E9"/>
    <w:rsid w:val="000F4CA4"/>
    <w:rsid w:val="00142448"/>
    <w:rsid w:val="0015269D"/>
    <w:rsid w:val="001A5C52"/>
    <w:rsid w:val="001E551D"/>
    <w:rsid w:val="001E59C4"/>
    <w:rsid w:val="002323CA"/>
    <w:rsid w:val="002520E6"/>
    <w:rsid w:val="002779D0"/>
    <w:rsid w:val="00291A9E"/>
    <w:rsid w:val="002E5B67"/>
    <w:rsid w:val="00305443"/>
    <w:rsid w:val="003130C9"/>
    <w:rsid w:val="00331763"/>
    <w:rsid w:val="00417BBB"/>
    <w:rsid w:val="0044628A"/>
    <w:rsid w:val="0048491A"/>
    <w:rsid w:val="004C4304"/>
    <w:rsid w:val="004C6E1C"/>
    <w:rsid w:val="004E63B1"/>
    <w:rsid w:val="005061DB"/>
    <w:rsid w:val="00522B8B"/>
    <w:rsid w:val="00536A44"/>
    <w:rsid w:val="005507FB"/>
    <w:rsid w:val="00564A1C"/>
    <w:rsid w:val="00574836"/>
    <w:rsid w:val="00593012"/>
    <w:rsid w:val="005B22EB"/>
    <w:rsid w:val="005C3EFD"/>
    <w:rsid w:val="005D3CE8"/>
    <w:rsid w:val="00602085"/>
    <w:rsid w:val="00654E4C"/>
    <w:rsid w:val="00680097"/>
    <w:rsid w:val="00696A63"/>
    <w:rsid w:val="006D6A9C"/>
    <w:rsid w:val="006E4BC9"/>
    <w:rsid w:val="006F68FE"/>
    <w:rsid w:val="00722D7D"/>
    <w:rsid w:val="007731E9"/>
    <w:rsid w:val="00783903"/>
    <w:rsid w:val="007926EE"/>
    <w:rsid w:val="007A756B"/>
    <w:rsid w:val="00841218"/>
    <w:rsid w:val="0084554E"/>
    <w:rsid w:val="008E06AC"/>
    <w:rsid w:val="008E45F2"/>
    <w:rsid w:val="00911AF8"/>
    <w:rsid w:val="00916EB1"/>
    <w:rsid w:val="00917660"/>
    <w:rsid w:val="00954657"/>
    <w:rsid w:val="00963510"/>
    <w:rsid w:val="00975823"/>
    <w:rsid w:val="009C54B1"/>
    <w:rsid w:val="00A624A0"/>
    <w:rsid w:val="00AB21AC"/>
    <w:rsid w:val="00AE5965"/>
    <w:rsid w:val="00B037EE"/>
    <w:rsid w:val="00B66801"/>
    <w:rsid w:val="00BB5992"/>
    <w:rsid w:val="00BC1131"/>
    <w:rsid w:val="00BC419A"/>
    <w:rsid w:val="00C70881"/>
    <w:rsid w:val="00C73AC1"/>
    <w:rsid w:val="00C93478"/>
    <w:rsid w:val="00CF35C2"/>
    <w:rsid w:val="00D40037"/>
    <w:rsid w:val="00D44767"/>
    <w:rsid w:val="00D53D1D"/>
    <w:rsid w:val="00D96592"/>
    <w:rsid w:val="00DD7DD2"/>
    <w:rsid w:val="00DF1621"/>
    <w:rsid w:val="00E07527"/>
    <w:rsid w:val="00E317BD"/>
    <w:rsid w:val="00E66A4F"/>
    <w:rsid w:val="00E80639"/>
    <w:rsid w:val="00E87000"/>
    <w:rsid w:val="00ED69B7"/>
    <w:rsid w:val="00EF21B1"/>
    <w:rsid w:val="00F11894"/>
    <w:rsid w:val="00F418DC"/>
    <w:rsid w:val="00F46EFF"/>
    <w:rsid w:val="00F71FAF"/>
    <w:rsid w:val="00F92CA8"/>
    <w:rsid w:val="00FA083A"/>
    <w:rsid w:val="00FB650F"/>
    <w:rsid w:val="00FD512D"/>
    <w:rsid w:val="00FE7D9A"/>
    <w:rsid w:val="00FF3EE0"/>
    <w:rsid w:val="0CF13647"/>
    <w:rsid w:val="0D4E26A3"/>
    <w:rsid w:val="0FBE6A7C"/>
    <w:rsid w:val="1349C33C"/>
    <w:rsid w:val="148BC9CF"/>
    <w:rsid w:val="16B4F917"/>
    <w:rsid w:val="197559A4"/>
    <w:rsid w:val="19867446"/>
    <w:rsid w:val="19AA38AF"/>
    <w:rsid w:val="209CC52E"/>
    <w:rsid w:val="231F1AF2"/>
    <w:rsid w:val="237C452D"/>
    <w:rsid w:val="2772C06F"/>
    <w:rsid w:val="30E49C21"/>
    <w:rsid w:val="3187C14E"/>
    <w:rsid w:val="32A5E220"/>
    <w:rsid w:val="337C81E5"/>
    <w:rsid w:val="3D83F4BB"/>
    <w:rsid w:val="3DF2BD65"/>
    <w:rsid w:val="3EDC57BA"/>
    <w:rsid w:val="46708631"/>
    <w:rsid w:val="499D0532"/>
    <w:rsid w:val="4CE58976"/>
    <w:rsid w:val="559640AF"/>
    <w:rsid w:val="5600808F"/>
    <w:rsid w:val="5711FA06"/>
    <w:rsid w:val="5B0FC8C1"/>
    <w:rsid w:val="5CEF6121"/>
    <w:rsid w:val="60FCA44B"/>
    <w:rsid w:val="64272691"/>
    <w:rsid w:val="6B727160"/>
    <w:rsid w:val="71459E94"/>
    <w:rsid w:val="740BD6ED"/>
    <w:rsid w:val="7C75A125"/>
    <w:rsid w:val="7DBA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99957"/>
  <w15:chartTrackingRefBased/>
  <w15:docId w15:val="{8795D50C-3E46-4E8A-929F-B52D246D2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B65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94F"/>
    <w:pPr>
      <w:widowControl w:val="0"/>
      <w:spacing w:after="200" w:line="276" w:lineRule="auto"/>
      <w:ind w:left="720"/>
      <w:contextualSpacing/>
    </w:pPr>
  </w:style>
  <w:style w:type="character" w:styleId="Hyperlink">
    <w:name w:val="Hyperlink"/>
    <w:basedOn w:val="DefaultParagraphFont"/>
    <w:uiPriority w:val="99"/>
    <w:unhideWhenUsed/>
    <w:rsid w:val="00917660"/>
    <w:rPr>
      <w:color w:val="0563C1" w:themeColor="hyperlink"/>
      <w:u w:val="single"/>
    </w:rPr>
  </w:style>
  <w:style w:type="character" w:styleId="FollowedHyperlink">
    <w:name w:val="FollowedHyperlink"/>
    <w:basedOn w:val="DefaultParagraphFont"/>
    <w:uiPriority w:val="99"/>
    <w:semiHidden/>
    <w:unhideWhenUsed/>
    <w:rsid w:val="001E551D"/>
    <w:rPr>
      <w:color w:val="954F72" w:themeColor="followedHyperlink"/>
      <w:u w:val="single"/>
    </w:rPr>
  </w:style>
  <w:style w:type="paragraph" w:styleId="BalloonText">
    <w:name w:val="Balloon Text"/>
    <w:basedOn w:val="Normal"/>
    <w:link w:val="BalloonTextChar"/>
    <w:uiPriority w:val="99"/>
    <w:semiHidden/>
    <w:unhideWhenUsed/>
    <w:rsid w:val="004C43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304"/>
    <w:rPr>
      <w:rFonts w:ascii="Segoe UI" w:hAnsi="Segoe UI" w:cs="Segoe UI"/>
      <w:sz w:val="18"/>
      <w:szCs w:val="18"/>
    </w:rPr>
  </w:style>
  <w:style w:type="character" w:customStyle="1" w:styleId="Heading2Char">
    <w:name w:val="Heading 2 Char"/>
    <w:basedOn w:val="DefaultParagraphFont"/>
    <w:link w:val="Heading2"/>
    <w:uiPriority w:val="9"/>
    <w:rsid w:val="00FB650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ACB22737C97C41B647888BDD828299" ma:contentTypeVersion="15" ma:contentTypeDescription="Create a new document." ma:contentTypeScope="" ma:versionID="74f7b5f00ed0d24c4bb8b87c25941b72">
  <xsd:schema xmlns:xsd="http://www.w3.org/2001/XMLSchema" xmlns:xs="http://www.w3.org/2001/XMLSchema" xmlns:p="http://schemas.microsoft.com/office/2006/metadata/properties" xmlns:ns1="http://schemas.microsoft.com/sharepoint/v3" xmlns:ns2="c5dd2921-6fa8-4f9a-8af0-c66e875683d7" xmlns:ns3="16db7c3b-f341-43c0-9881-39b95c14b463" targetNamespace="http://schemas.microsoft.com/office/2006/metadata/properties" ma:root="true" ma:fieldsID="c587f6c2b98c03f39bc5682440132ab2" ns1:_="" ns2:_="" ns3:_="">
    <xsd:import namespace="http://schemas.microsoft.com/sharepoint/v3"/>
    <xsd:import namespace="c5dd2921-6fa8-4f9a-8af0-c66e875683d7"/>
    <xsd:import namespace="16db7c3b-f341-43c0-9881-39b95c14b4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d2921-6fa8-4f9a-8af0-c66e87568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b3e53e-12d5-4e58-a8f6-425b524cd83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db7c3b-f341-43c0-9881-39b95c14b4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7af9c-4e90-471f-980d-0463a2005446}" ma:internalName="TaxCatchAll" ma:showField="CatchAllData" ma:web="16db7c3b-f341-43c0-9881-39b95c14b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db7c3b-f341-43c0-9881-39b95c14b463" xsi:nil="true"/>
    <lcf76f155ced4ddcb4097134ff3c332f xmlns="c5dd2921-6fa8-4f9a-8af0-c66e875683d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B781B07-201C-4CE4-A9AE-3C3644BE6F35}"/>
</file>

<file path=customXml/itemProps2.xml><?xml version="1.0" encoding="utf-8"?>
<ds:datastoreItem xmlns:ds="http://schemas.openxmlformats.org/officeDocument/2006/customXml" ds:itemID="{DBFDC3C1-BCE6-44E5-BC55-CA0F85A628B2}"/>
</file>

<file path=customXml/itemProps3.xml><?xml version="1.0" encoding="utf-8"?>
<ds:datastoreItem xmlns:ds="http://schemas.openxmlformats.org/officeDocument/2006/customXml" ds:itemID="{5CA20BF6-E797-4E2D-B970-A6DCC2C9833D}"/>
</file>

<file path=docProps/app.xml><?xml version="1.0" encoding="utf-8"?>
<Properties xmlns="http://schemas.openxmlformats.org/officeDocument/2006/extended-properties" xmlns:vt="http://schemas.openxmlformats.org/officeDocument/2006/docPropsVTypes">
  <Template>Normal.dotm</Template>
  <TotalTime>1</TotalTime>
  <Pages>3</Pages>
  <Words>407</Words>
  <Characters>2254</Characters>
  <Application>Microsoft Office Word</Application>
  <DocSecurity>0</DocSecurity>
  <Lines>53</Lines>
  <Paragraphs>20</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ARenny</dc:creator>
  <cp:keywords/>
  <dc:description/>
  <cp:lastModifiedBy>Sara South</cp:lastModifiedBy>
  <cp:revision>21</cp:revision>
  <cp:lastPrinted>2020-12-11T20:04:00Z</cp:lastPrinted>
  <dcterms:created xsi:type="dcterms:W3CDTF">2021-11-01T23:41:00Z</dcterms:created>
  <dcterms:modified xsi:type="dcterms:W3CDTF">2025-12-30T21:45:00Z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0x010100F9ACB22737C97C41B647888BDD828299</vt:lpwstr>
  </property>
</Properties>
</file>